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42</w:t>
      </w:r>
    </w:p>
    <w:p>
      <w:r>
        <w:t>Bundesgericht (BGE), 1987-01-28, DE</w:t>
      </w:r>
    </w:p>
    <w:p>
      <w:r>
        <w:rPr>
          <w:b/>
        </w:rPr>
        <w:t xml:space="preserve">Quelle: </w:t>
      </w:r>
      <w:r>
        <w:t>https://mcp.opencaselaw.ch/entscheid/bge_113 III 42</w:t>
      </w:r>
    </w:p>
    <w:p>
      <w:r>
        <w:t>FR: ATF 113 III 42</w:t>
      </w:r>
    </w:p>
    <w:p>
      <w:r>
        <w:t>IT: DTF 113 III 42</w:t>
      </w:r>
    </w:p>
    <w:p>
      <w:pPr>
        <w:pStyle w:val="Heading2"/>
      </w:pPr>
      <w:r>
        <w:t>Regeste</w:t>
      </w:r>
    </w:p>
    <w:p>
      <w:r>
        <w:t>Regeste 1. Lastenverzeichnis (Art. 34 VZG). Ein nicht im Grundbuch eingetragenes bzw. vorgemerktes Benützungsrecht an einer Liegenschaft kann nicht ins Lastenverzeichnis aufgenommen werden. Überschreitet der Betreibungsbeamte offenkundig seine sachliche Zuständigkeit, so ist die Aufnahme in das Lastenverzeichnis nichtig (E. 2). 2. Überbindung von Mietverträgen durch die Steigerungsbedingungen (Art. 50 VZG). Weist der Scheidungsrichter eine Liegenschaft im Rahmen der vorsorglichen Massnahmen des Scheidungsprozesses der Ehefrau zur Benützung zu, so liegt jedenfalls nicht ein Mietvertrag im Sinne des Obligationenrechts vor. Eine Überbindung dieses Benützungsrechts auf den Ersteigerer gemäss Art. 50 VZG ist daher ausgeschlossen (E. 3a und b). Steigerungsbedingungen, die der Betreibungsbeamte darüber aufstellt, innert welcher Frist der Ersteigerer die Räumung des Objektes verlangen kann und ob diesem für die Benützung ein Entgelt geschuldet wird, sind ebenfalls nichtig (E. 3c).</w:t>
      </w:r>
    </w:p>
    <w:p>
      <w:pPr>
        <w:pStyle w:val="Heading2"/>
      </w:pPr>
      <w:r>
        <w:t>Erwägungen</w:t>
      </w:r>
    </w:p>
    <w:p>
      <w:r>
        <w:rPr>
          <w:b/>
        </w:rPr>
        <w:t>E. 2</w:t>
      </w:r>
    </w:p>
    <w:p>
      <w:r>
        <w:t>Gemäss Art. 34 VZG sind im Lastenverzeichnis das zu versteigernde Grundstück samt allfälliger Zugehör zu bezeichnen und die im Grundbuch eingetragenen sowie die auf Grund der öffentlichen Aufforderung angemeldeten Lasten (Pfandrechte, Grunddienstbarkeiten, sonstige dingliche Rechte) aufzuführen. Nicht in das Lastenverzeichnis aufgenommen werden können hingegen Ansprüche, die erst nach Ablauf der Anmeldungsfrist geltend gemacht werden, sowie Forderungen, die keine Belastung des Grundstückes darstellen ( Art. 36 Abs. 1 VZG ). Im vorliegenden Fall ist in das Lastenverzeichnis ein nicht im Grundbuch eingetragenes Benützungsrecht an der Liegenschaft aufgenommen worden, das der Ehefrau des Pfandeigentümers zusteht. Bei diesem Benützungsrecht handelt es sich jedoch weder um ein dingliches Recht noch um ein vorgemerktes persönliches Recht mit dinglicher Wirkung. Die Aufnahme in das Lastenverzeichnis war daher zum vornherein ausgeschlossen ( Art. 36 Abs. 1 VZG ; vgl. auch AMONN, Grundriss des Schuldbetreibungs- und Konkursrechts, N 17 f. zu § 28; GILLIÉRON, Poursuite pour dettes, faillite et concordat, S. 214 f.; FRITZSCHE/WALDER, Schuldbetreibung und Konkurs nach schweizerischem Recht, N 11-14 zu § 31). Hinzu kommt, dass das Betreibungsamt das fragliche Benützungsrecht offenbar nicht auf Begehren einer der Parteien, sondern aus eigenem Antrieb im Lastenverzeichnis aufgeführt hat. Mit diesem Vorgehen hat das Betreibungsamt den Rahmen seiner sachlichen Zuständigkeit offenkundig überschritten. Die Aufnahme zusätzlicher Belastungen ins Lastenverzeichnis gehört unzweifelhaft nicht zur Verwaltung, Bewirtschaftung und Verwertung des Grundstücks, die dem Betreibungsamt in der Betreibung auf Pfandverwertung obliegen ( BGE 97 III 101 ). Verfügungen, mit denen das Amt seine sachliche Zuständigkeit offensichtlich überschreitet, sind schlechthin nichtig ( BGE 97 III 102 mit zahlreichen Hinweisen). Das vom Betreibungsamt in das Lastenverzeichnis aufgenommene Benützungsrecht kann daher keinen Bestand haben. Aus den gleichen Gründen müssen auch die besonderen Zusicherungen entfallen, die das Betreibungsamt zum Benützungsrecht abgegeben hat.</w:t>
      </w:r>
    </w:p>
    <w:p>
      <w:r>
        <w:rPr>
          <w:b/>
        </w:rPr>
        <w:t>E. 3</w:t>
      </w:r>
    </w:p>
    <w:p>
      <w:r>
        <w:t>Der Scheidungsrichter hat die Liegenschaft im Rahmen der vorsorglichen Massnahmen des Scheidungsprozesses der Rekurrentin zur Benützung zugewiesen und den Ehemann verpflichtet, BGE 113 III 42 S. 46 für die Hypothekarzinsen aufzukommen. Die Rekurrentin ist der Auffassung, dass dadurch zwischen ihr und ihrem Ehemann ein mietähnliches Verhältnis entstanden sei, das dem Mietrecht unterstehe. Dieses mietähnliche Verhältnis sei gemäss Art. 50 VZG durch die Steigerungsbedingungen auf den Erwerber zu überbinden. a) Die Rekurrentin stützt ihre Auffassung, wonach ein dem Mietrecht unterstehendes mietähnliches Verhältnis bestehe, auf BÜHLER/SPÜHLER (N 98 zu Art. 145 ZGB ). Diese Autoren bejahen an der betreffenden Stelle im Zusammenhang mit der umstrittenen Frage, ob das Benützungsrecht der Ehefrau im Sinne von Art. 959 ZGB vormerkbar sei, wenn ihr im Rahmen der vorsorglichen Massnahmen des Scheidungsprozesses die dem Ehemann gehörende Liegenschaft zugewiesen worden ist, tatsächlich das Vorliegen eines mietähnlichen Verhältnisses. Doch führen sie für diese Annahme keine nähere Begründung an. Beim Rechtsverhältnis, das von der Rekurrentin geltend gemacht wird, handelt es sich jedenfalls nicht um einen Mietvertrag im Sinne des Obligationenrechts. Zum Abschluss eines solchen Vertrages bedarf es gemäss Art. 1 Abs. 1 OR der übereinstimmenden gegenseitigen Willensäusserungen der Parteien. Daran fehlt es im vorliegenden Fall. Die fehlende Willensäusserung der Parteien ist auch nicht durch ein richterliches Urteil ersetzt worden, denn der Massnahmenrichter hat der Rekurrentin lediglich die Wohnung zur Benützung zugewiesen. Diese vorsorgliche Massregel des Scheidungsverfahrens unterscheidet sich wesentlich von einem Urteil, das eine fehlende Willensäusserung zum Abschluss eines Mietvertrages ersetzt. Es kann daher nicht davon ausgegangen werden, dass durch die Zuweisung der ehelichen Wohnung an die Rekurrentin zwischen den Parteien ein Mietvertrag entstanden ist. Damit erübrigt es sich zu prüfen, ob eine solche Anordnung im Rahmen des Massnahmenverfahrens überhaupt zulässig wäre. b) Art. 50 VZG sieht zwar vor, dass dem Erwerber des Grundstücks durch die Steigerungsbedingungen unter gewissen Voraussetzungen Mietverträge überbunden werden können, die nicht im Grundbuch vorgemerkt sind. Die Frage, ob hier die Voraussetzungen für eine Überbindung erfüllt seien, stellt sich jedoch nicht, nachdem die Rekurrentin sich nicht auf einen Mietvertrag berufen kann. Aus dem gleichen Grunde ist es auch zum vornherein ausgeschlossen, in die Steigerungsbedingungen entsprechend dem BGE 113 III 42 S. 47 Begehren der Rekurrentin eine Bestimmung aufzunehmen, wonach ihr das Recht zustehe, in Anwendung von Art. 267 ff. OR eine Verlängerung des Mietvertrages zu verlangen. Im übrigen ist darauf hinzuweisen, dass selbst dann keine Verletzung von Art. 50 VZG ersichtlich wäre, wenn die Rekurrentin ein Mietverhältnis nachzuweisen vermöchte. Bei Art. 50 VZG handelt es sich um eine "Kann-Vorschrift", so dass nicht ohne weiteres eine Verletzung dieser Vorschrift vorliegt, wenn der Betreibungsbeamte die Überbindung des Mietvertrages nicht anordnet. So ist denn auch die weitere Voraussetzung keineswegs nachgewiesen, wonach die Überbindung eines Mietvertrages keine berechtigten Interessen der am Verfahren Beteiligten verletzen darf. Die Erwägung der kantonalen Aufsichtsbehörde, dass es für einen Ersteigerer unwesentlich sei, ob ein Mietzins geschuldet werde und wer dafür aufzukommen habe, ist jedenfalls unzutreffend. Auch wenn mit der kantonalen Aufsichtsbehörde davon ausgegangen wird, dass ein Ersteigerer einen erheblichen Zuschlagspreis zu bezahlen haben wird, so will dieser doch sicher gehen, dass das ersteigerte Objekt einen der Investition entsprechenden Ertrag abwirft. Es ist für ihn daher wesentlich, ob ein in den Steigerungsbedingungen überbundener Mietvertrag tatsächlich besteht und wer der Mietzinsschuldner ist. Ist ersichtlich, dass hierüber Ungewissheit besteht, so berührt dies sowohl die Interessen des Ersteigerers als auch des Grundpfandschuldners und der Grundpfandgläubiger, da die Unmöglichkeit der sicheren Berechnung des Grundstückertrages geeignet ist, das Steigerungsangebot negativ zu beeinflussen. Auch unter diesen Gesichtspunkten wäre daher eine Überbindung des behaupteten Mietvertrages ausgeschlossen. c) Der Ersteigerer erwirbt das Eigentum unmittelbar durch den Zuschlag des Steigerungsgegenstandes ( Art. 656 Abs. 2 ZGB , Art. 66 VZG ). Nachdem sich die Rekurrentin nicht auf einen Mietvertrag zu berufen vermag, findet für die Beendigung des Nutzungsverhältnisses Art. 259 OR keine Anwendung. Der Ersteigerer kann vielmehr gestützt auf Art. 641 ZGB die Räumung des Objektes verlangen. Über den Zeitraum, welcher der Benützerin dafür zu gewähren ist, hat das Betreibungsamt jedoch sowenig zu befinden wie darüber, ob und unter welchem Rechtstitel die Rekurrentin für die Benützung ein Entgelt schuldet. Es steht dem Betreibungsbeamten daher nicht zu, diesbezüglich irgendwelche Bestimmungen in die Steigerungsbedingungen aufzunehmen. Indem er BGE 113 III 42 S. 48 dies trotzdem getan hat, hat er seine sachliche Zuständigkeit offenkundig überschritten. Die betreffenden Bestimmungen in den Steigerungsbedingungen sind daher ebenso nichtig wie jene im Lastenverzeichnis ( BGE 97 III 102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